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officeDocument" Target="word/document.xml"/>
  <Relationship Id="rId4" Type="http://schemas.openxmlformats.org/package/2006/relationships/metadata/core-properties" Target="docProps/core.xml"/>
</Relationships>

</file>

<file path=word/document.xml><?xml version="1.0" encoding="utf-8"?>
<w:document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taisx="http://lrs.lt/TAIS/DocPartXmlMark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p14">
  <w:body>
    <w:p>
      <w:pPr>
        <w:jc w:val="both"/>
        <w:rPr>
          <w:rFonts w:ascii="Times New Roman" w:hAnsi="Times New Roman"/>
        </w:rPr>
      </w:pPr>
      <w:r>
        <w:rPr>
          <w:rFonts w:ascii="Times New Roman" w:hAnsi="Times New Roman"/>
          <w:b/>
          <w:i/>
        </w:rPr>
        <w:t>Suvestinė redakcija nuo 2017-12-23</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Sprendimas paskelbtas: TAR 2012-11-29, i. k. 2012-02476</w:t>
      </w:r>
    </w:p>
    <w:p>
      <w:pPr>
        <w:jc w:val="both"/>
        <w:rPr>
          <w:rFonts w:ascii="Times New Roman" w:hAnsi="Times New Roman"/>
          <w:sz w:val="20"/>
        </w:rPr>
      </w:pPr>
    </w:p>
    <w:p>
      <w:pPr>
        <w:jc w:val="center"/>
        <w:rPr>
          <w:b/>
          <w:szCs w:val="24"/>
        </w:rPr>
      </w:pPr>
      <w:r>
        <w:rPr>
          <w:b/>
          <w:szCs w:val="24"/>
          <w:lang w:eastAsia="lt-LT"/>
        </w:rPr>
        <w:drawing>
          <wp:inline distT="0" distB="0" distL="0" distR="0">
            <wp:extent cx="533400" cy="666750"/>
            <wp:effectExtent l="0" t="0" r="0" b="0"/>
            <wp:docPr id="1" name="Paveikslėlis 1" descr="herbasklp_juodas(blank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klp_juodas(blankam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 cy="666750"/>
                    </a:xfrm>
                    <a:prstGeom prst="rect">
                      <a:avLst/>
                    </a:prstGeom>
                    <a:noFill/>
                    <a:ln>
                      <a:noFill/>
                    </a:ln>
                  </pic:spPr>
                </pic:pic>
              </a:graphicData>
            </a:graphic>
          </wp:inline>
        </w:drawing>
      </w:r>
    </w:p>
    <w:p>
      <w:pPr>
        <w:jc w:val="center"/>
        <w:rPr>
          <w:b/>
          <w:szCs w:val="24"/>
        </w:rPr>
      </w:pPr>
      <w:r>
        <w:rPr>
          <w:b/>
          <w:szCs w:val="24"/>
        </w:rPr>
        <w:t>KLAIPĖDOS MIESTO SAVIVALDYBĖS TARYBA</w:t>
      </w:r>
    </w:p>
    <w:p>
      <w:pPr>
        <w:jc w:val="center"/>
        <w:rPr>
          <w:b/>
          <w:szCs w:val="24"/>
        </w:rPr>
      </w:pPr>
    </w:p>
    <w:p>
      <w:pPr>
        <w:jc w:val="center"/>
        <w:rPr>
          <w:b/>
          <w:szCs w:val="24"/>
        </w:rPr>
      </w:pPr>
      <w:r>
        <w:rPr>
          <w:b/>
          <w:szCs w:val="24"/>
        </w:rPr>
        <w:t>SPRENDIMAS</w:t>
      </w:r>
    </w:p>
    <w:p>
      <w:pPr>
        <w:jc w:val="center"/>
        <w:rPr>
          <w:b/>
          <w:szCs w:val="24"/>
        </w:rPr>
      </w:pPr>
      <w:r>
        <w:rPr>
          <w:b/>
          <w:caps/>
          <w:szCs w:val="24"/>
        </w:rPr>
        <w:t>DĖL</w:t>
      </w:r>
      <w:r>
        <w:rPr>
          <w:b/>
          <w:szCs w:val="24"/>
        </w:rPr>
        <w:t xml:space="preserve"> MAITINIMO ORGANIZAVIMO KLAIPĖDOS MIESTO SAVIVALDYBĖS BENDROJO UGDYMO MOKYKLOSE IR IKIMOKYKLINIO UGDYMO ĮSTAIGOSE TVARKOS APRAŠO PATVIRTINIMO</w:t>
      </w:r>
    </w:p>
    <w:p>
      <w:pPr>
        <w:jc w:val="center"/>
        <w:rPr>
          <w:b/>
          <w:szCs w:val="24"/>
        </w:rPr>
      </w:pPr>
    </w:p>
    <w:p>
      <w:pPr>
        <w:tabs>
          <w:tab w:val="left" w:pos="5070"/>
          <w:tab w:val="left" w:pos="5366"/>
          <w:tab w:val="left" w:pos="6771"/>
          <w:tab w:val="left" w:pos="7363"/>
        </w:tabs>
        <w:jc w:val="center"/>
        <w:rPr>
          <w:szCs w:val="24"/>
        </w:rPr>
      </w:pPr>
      <w:r>
        <w:rPr>
          <w:szCs w:val="24"/>
        </w:rPr>
        <w:t>2012 m. lapkričio 29 d. Nr. T2-281</w:t>
      </w:r>
    </w:p>
    <w:p>
      <w:pPr>
        <w:tabs>
          <w:tab w:val="left" w:pos="5070"/>
          <w:tab w:val="left" w:pos="5366"/>
          <w:tab w:val="left" w:pos="6771"/>
          <w:tab w:val="left" w:pos="7363"/>
        </w:tabs>
        <w:jc w:val="center"/>
        <w:rPr>
          <w:szCs w:val="24"/>
        </w:rPr>
      </w:pPr>
      <w:r>
        <w:rPr>
          <w:szCs w:val="24"/>
        </w:rPr>
        <w:t>Klaipėda</w:t>
      </w:r>
    </w:p>
    <w:p>
      <w:pPr>
        <w:tabs>
          <w:tab w:val="left" w:pos="5070"/>
          <w:tab w:val="left" w:pos="5366"/>
          <w:tab w:val="left" w:pos="6771"/>
          <w:tab w:val="left" w:pos="7363"/>
        </w:tabs>
        <w:jc w:val="center"/>
        <w:rPr>
          <w:szCs w:val="24"/>
        </w:rPr>
      </w:pPr>
    </w:p>
    <w:p>
      <w:pPr>
        <w:tabs>
          <w:tab w:val="left" w:pos="5070"/>
          <w:tab w:val="left" w:pos="5366"/>
          <w:tab w:val="left" w:pos="6771"/>
          <w:tab w:val="left" w:pos="7363"/>
        </w:tabs>
        <w:jc w:val="center"/>
        <w:rPr>
          <w:szCs w:val="24"/>
        </w:rPr>
      </w:pPr>
    </w:p>
    <w:p>
      <w:pPr>
        <w:ind w:firstLine="851"/>
        <w:jc w:val="both"/>
        <w:rPr>
          <w:spacing w:val="60"/>
          <w:szCs w:val="24"/>
        </w:rPr>
      </w:pPr>
      <w:r>
        <w:rPr>
          <w:szCs w:val="24"/>
        </w:rPr>
        <w:t>Vadovaudamasi Lietuvos Respublikos v</w:t>
      </w:r>
      <w:r>
        <w:rPr>
          <w:color w:val="000000"/>
          <w:szCs w:val="24"/>
        </w:rPr>
        <w:t xml:space="preserve">ietos savivaldos įstatymo (Žin., 1994, Nr. </w:t>
      </w:r>
      <w:hyperlink r:id="rId8" w:tgtFrame="_blank" w:history="1">
        <w:r>
          <w:rPr>
            <w:color w:val="0000FF" w:themeColor="hyperlink"/>
            <w:szCs w:val="24"/>
            <w:u w:val="single"/>
          </w:rPr>
          <w:t>55-1049</w:t>
        </w:r>
      </w:hyperlink>
      <w:r>
        <w:rPr>
          <w:color w:val="000000"/>
          <w:szCs w:val="24"/>
        </w:rPr>
        <w:t xml:space="preserve">; 2011, Nr. </w:t>
      </w:r>
      <w:hyperlink r:id="rId9" w:tgtFrame="_blank" w:history="1">
        <w:r>
          <w:rPr>
            <w:color w:val="0000FF" w:themeColor="hyperlink"/>
            <w:szCs w:val="24"/>
            <w:u w:val="single"/>
          </w:rPr>
          <w:t>52-2504</w:t>
        </w:r>
      </w:hyperlink>
      <w:r>
        <w:rPr>
          <w:color w:val="000000"/>
          <w:szCs w:val="24"/>
        </w:rPr>
        <w:t>)</w:t>
      </w:r>
      <w:r>
        <w:rPr>
          <w:szCs w:val="24"/>
        </w:rPr>
        <w:t xml:space="preserve"> 6 straipsnio 10 punktu, 18 straipsnio 1 dalimi, Lietuvos Respublikos švietimo įstatymo (Žin., 1991, Nr. 27-593; 2011, Nr. </w:t>
      </w:r>
      <w:hyperlink r:id="rId10" w:tgtFrame="_blank" w:history="1">
        <w:r>
          <w:rPr>
            <w:color w:val="0000FF" w:themeColor="hyperlink"/>
            <w:szCs w:val="24"/>
            <w:u w:val="single"/>
          </w:rPr>
          <w:t>38-1804</w:t>
        </w:r>
      </w:hyperlink>
      <w:r>
        <w:rPr>
          <w:szCs w:val="24"/>
        </w:rPr>
        <w:t xml:space="preserve">) 36 straipsnio 6, 7, 8, 9 dalimis, Klaipėdos miesto savivaldybės taryba  </w:t>
      </w:r>
      <w:r>
        <w:rPr>
          <w:spacing w:val="60"/>
          <w:szCs w:val="24"/>
        </w:rPr>
        <w:t>nusprendži</w:t>
      </w:r>
      <w:r>
        <w:rPr>
          <w:szCs w:val="24"/>
        </w:rPr>
        <w:t>a</w:t>
      </w:r>
      <w:r>
        <w:rPr>
          <w:spacing w:val="60"/>
          <w:szCs w:val="24"/>
        </w:rPr>
        <w:t>:</w:t>
      </w:r>
    </w:p>
    <w:p>
      <w:pPr>
        <w:ind w:firstLine="851"/>
        <w:jc w:val="both"/>
        <w:rPr>
          <w:szCs w:val="24"/>
        </w:rPr>
      </w:pPr>
      <w:r>
        <w:rPr>
          <w:szCs w:val="24"/>
        </w:rPr>
        <w:t>1</w:t>
      </w:r>
      <w:r>
        <w:rPr>
          <w:szCs w:val="24"/>
        </w:rPr>
        <w:t>.</w:t>
      </w:r>
      <w:r>
        <w:rPr>
          <w:spacing w:val="60"/>
          <w:szCs w:val="24"/>
        </w:rPr>
        <w:t xml:space="preserve"> </w:t>
      </w:r>
      <w:r>
        <w:rPr>
          <w:szCs w:val="24"/>
        </w:rPr>
        <w:t>Patvirtinti Maitinimo organizavimo Klaipėdos miesto savivaldybės bendrojo ugdymo mokyklose ir ikimokyklinio ugdymo įstaigose tvarkos aprašą (pridedama).</w:t>
      </w:r>
    </w:p>
    <w:p>
      <w:pPr>
        <w:ind w:firstLine="851"/>
        <w:jc w:val="both"/>
        <w:rPr>
          <w:szCs w:val="24"/>
        </w:rPr>
      </w:pPr>
      <w:r>
        <w:rPr>
          <w:szCs w:val="24"/>
        </w:rPr>
        <w:t>2</w:t>
      </w:r>
      <w:r>
        <w:rPr>
          <w:szCs w:val="24"/>
        </w:rPr>
        <w:t>. Pripažinti netekusiais galios:</w:t>
      </w:r>
    </w:p>
    <w:p>
      <w:pPr>
        <w:ind w:firstLine="851"/>
        <w:jc w:val="both"/>
        <w:rPr>
          <w:szCs w:val="24"/>
        </w:rPr>
      </w:pPr>
      <w:r>
        <w:rPr>
          <w:szCs w:val="24"/>
        </w:rPr>
        <w:t>2.1</w:t>
      </w:r>
      <w:r>
        <w:rPr>
          <w:szCs w:val="24"/>
        </w:rPr>
        <w:t xml:space="preserve">. Klaipėdos miesto savivaldybės tarybos </w:t>
      </w:r>
      <w:smartTag w:uri="urn:schemas-microsoft-com:office:smarttags" w:element="metricconverter">
        <w:smartTagPr>
          <w:attr w:name="ProductID" w:val="2010 m"/>
        </w:smartTagPr>
        <w:r>
          <w:rPr>
            <w:szCs w:val="24"/>
          </w:rPr>
          <w:t>2010 m</w:t>
        </w:r>
      </w:smartTag>
      <w:r>
        <w:rPr>
          <w:szCs w:val="24"/>
        </w:rPr>
        <w:t xml:space="preserve">. gegužės 6 d. sprendimą Nr. T2-103 „Dėl Maitinimo organizavimo Klaipėdos miesto savivaldybės bendrojo lavinimo mokyklose ir ikimokyklinio ugdymo įstaigose tvarkos aprašo patvirtinimo“; </w:t>
      </w:r>
    </w:p>
    <w:p>
      <w:pPr>
        <w:ind w:firstLine="851"/>
        <w:jc w:val="both"/>
        <w:rPr>
          <w:szCs w:val="24"/>
        </w:rPr>
      </w:pPr>
      <w:r>
        <w:rPr>
          <w:szCs w:val="24"/>
        </w:rPr>
        <w:t>2.2</w:t>
      </w:r>
      <w:r>
        <w:rPr>
          <w:szCs w:val="24"/>
        </w:rPr>
        <w:t xml:space="preserve">. Klaipėdos miesto savivaldybės tarybos </w:t>
      </w:r>
      <w:smartTag w:uri="urn:schemas-microsoft-com:office:smarttags" w:element="metricconverter">
        <w:smartTagPr>
          <w:attr w:name="ProductID" w:val="2010 m"/>
        </w:smartTagPr>
        <w:r>
          <w:rPr>
            <w:szCs w:val="24"/>
          </w:rPr>
          <w:t>2010 m</w:t>
        </w:r>
      </w:smartTag>
      <w:r>
        <w:rPr>
          <w:szCs w:val="24"/>
        </w:rPr>
        <w:t xml:space="preserve"> rugsėjo 30 d. sprendimą Nr. T2-283 „Dėl Klaipėdos miesto savivaldybės tarybos </w:t>
      </w:r>
      <w:smartTag w:uri="urn:schemas-microsoft-com:office:smarttags" w:element="metricconverter">
        <w:smartTagPr>
          <w:attr w:name="ProductID" w:val="2010 m"/>
        </w:smartTagPr>
        <w:r>
          <w:rPr>
            <w:szCs w:val="24"/>
          </w:rPr>
          <w:t>2010 m</w:t>
        </w:r>
      </w:smartTag>
      <w:r>
        <w:rPr>
          <w:szCs w:val="24"/>
        </w:rPr>
        <w:t>. gegužės 6 d. sprendimo Nr. T2-103 „Dėl Maitinimo organizavimo Klaipėdos miesto savivaldybės bendrojo lavinimo mokyklose ir ikimokyklinio ugdymo įstaigose tvarkos aprašo patvirtinimo“ pakeitimo“.</w:t>
      </w:r>
    </w:p>
    <w:p>
      <w:pPr>
        <w:ind w:firstLine="851"/>
        <w:jc w:val="both"/>
      </w:pPr>
      <w:r>
        <w:rPr>
          <w:color w:val="000000"/>
          <w:szCs w:val="24"/>
        </w:rPr>
        <w:t>3</w:t>
      </w:r>
      <w:r>
        <w:rPr>
          <w:color w:val="000000"/>
          <w:szCs w:val="24"/>
        </w:rPr>
        <w:t>. Skelbti apie šį sprendimą vietinėje spaudoje ir Klaipėdos miesto savivaldybės interneto tinklalapyje.</w:t>
      </w:r>
    </w:p>
    <w:p>
      <w:pPr>
        <w:tabs>
          <w:tab w:val="left" w:pos="7371"/>
        </w:tabs>
      </w:pPr>
    </w:p>
    <w:p>
      <w:pPr>
        <w:tabs>
          <w:tab w:val="left" w:pos="7371"/>
        </w:tabs>
      </w:pPr>
    </w:p>
    <w:p>
      <w:pPr>
        <w:tabs>
          <w:tab w:val="left" w:pos="7371"/>
        </w:tabs>
      </w:pPr>
    </w:p>
    <w:p>
      <w:pPr>
        <w:tabs>
          <w:tab w:val="left" w:pos="7371"/>
        </w:tabs>
        <w:rPr>
          <w:sz w:val="18"/>
          <w:szCs w:val="18"/>
        </w:rPr>
      </w:pPr>
      <w:r>
        <w:rPr>
          <w:color w:val="000000"/>
          <w:szCs w:val="24"/>
        </w:rPr>
        <w:t xml:space="preserve">Savivaldybės meras </w:t>
        <w:tab/>
        <w:t>Vytautas Grubliauskas</w:t>
      </w:r>
    </w:p>
    <w:p>
      <w:pPr>
        <w:ind w:left="5398"/>
      </w:pPr>
      <w:r>
        <w:br w:type="page"/>
        <w:t xml:space="preserve">PATVIRTINTA </w:t>
      </w:r>
    </w:p>
    <w:p>
      <w:pPr>
        <w:ind w:left="5398"/>
      </w:pPr>
      <w:r>
        <w:t>Klaipėdos miesto savivaldybės tarybos</w:t>
      </w:r>
    </w:p>
    <w:p>
      <w:pPr>
        <w:ind w:left="5398"/>
      </w:pPr>
      <w:r>
        <w:t xml:space="preserve">2012 m. lapkričio 29 d. sprendimu </w:t>
      </w:r>
    </w:p>
    <w:p>
      <w:pPr>
        <w:ind w:left="5398"/>
      </w:pPr>
      <w:r>
        <w:t>Nr. T2-281</w:t>
      </w:r>
    </w:p>
    <w:p>
      <w:pPr>
        <w:ind w:left="5400"/>
        <w:jc w:val="both"/>
      </w:pPr>
    </w:p>
    <w:p>
      <w:pPr>
        <w:ind w:left="5400"/>
        <w:jc w:val="both"/>
      </w:pPr>
    </w:p>
    <w:p>
      <w:pPr>
        <w:jc w:val="center"/>
        <w:rPr>
          <w:b/>
        </w:rPr>
      </w:pPr>
      <w:r>
        <w:rPr>
          <w:b/>
        </w:rPr>
        <w:t>MAITINIMO ORGANIZAVIMO KLAIPĖDOS MIESTO SAVIVALDYBĖS BENDROJO UGDYMO MOKYKLOSE IR IKIMOKYKLINIO UGDYMO ĮSTAIGOSE TVARKOS APRAŠAS</w:t>
      </w:r>
    </w:p>
    <w:p>
      <w:pPr>
        <w:ind w:left="-360" w:firstLine="180"/>
        <w:jc w:val="center"/>
        <w:rPr>
          <w:b/>
        </w:rPr>
      </w:pPr>
    </w:p>
    <w:p>
      <w:pPr>
        <w:tabs>
          <w:tab w:val="left" w:pos="180"/>
        </w:tabs>
        <w:jc w:val="center"/>
      </w:pPr>
      <w:r>
        <w:rPr>
          <w:b/>
          <w:szCs w:val="22"/>
        </w:rPr>
        <w:t>I</w:t>
      </w:r>
      <w:r>
        <w:rPr>
          <w:b/>
          <w:szCs w:val="22"/>
        </w:rPr>
        <w:t xml:space="preserve">. </w:t>
      </w:r>
      <w:r>
        <w:rPr>
          <w:b/>
          <w:szCs w:val="22"/>
        </w:rPr>
        <w:t>BENDROSIOS NUOSTATOS</w:t>
      </w:r>
    </w:p>
    <w:p>
      <w:pPr>
        <w:tabs>
          <w:tab w:val="left" w:pos="180"/>
        </w:tabs>
        <w:jc w:val="center"/>
        <w:rPr>
          <w:b/>
          <w:szCs w:val="22"/>
        </w:rPr>
      </w:pPr>
    </w:p>
    <w:p>
      <w:pPr>
        <w:tabs>
          <w:tab w:val="left" w:pos="180"/>
        </w:tabs>
        <w:ind w:firstLine="709"/>
        <w:jc w:val="both"/>
        <w:rPr>
          <w:szCs w:val="22"/>
        </w:rPr>
      </w:pPr>
      <w:r>
        <w:rPr>
          <w:szCs w:val="22"/>
        </w:rPr>
        <w:t>1</w:t>
      </w:r>
      <w:r>
        <w:rPr>
          <w:szCs w:val="22"/>
        </w:rPr>
        <w:t>. Šis tvarkos aprašas reglamentuoja Klaipėdos miesto savivaldybės bendrojo ugdymo mokyklų ugdytinių, mokinių, gyvenančių bendrojo ugdymo mokyklų bendrabučiuose, ir ikimokyklinio ugdymo įstaigų ugdytinių maitinimo organizavimą šių įstaigų darbo dienomis.</w:t>
      </w:r>
    </w:p>
    <w:p>
      <w:pPr>
        <w:tabs>
          <w:tab w:val="left" w:pos="180"/>
          <w:tab w:val="left" w:pos="993"/>
        </w:tabs>
        <w:ind w:firstLine="720"/>
        <w:jc w:val="both"/>
        <w:rPr>
          <w:szCs w:val="22"/>
        </w:rPr>
      </w:pPr>
      <w:r>
        <w:rPr>
          <w:caps/>
          <w:color w:val="000000"/>
          <w:szCs w:val="22"/>
        </w:rPr>
        <w:t>2</w:t>
      </w:r>
      <w:r>
        <w:rPr>
          <w:caps/>
          <w:color w:val="000000"/>
          <w:szCs w:val="22"/>
        </w:rPr>
        <w:t>. M</w:t>
      </w:r>
      <w:r>
        <w:rPr>
          <w:color w:val="000000"/>
          <w:szCs w:val="22"/>
        </w:rPr>
        <w:t>aitinimas švietimo įstaigose organizuojamas vadovaujantis teisės aktais, reglamentuojančiais mokinių ir vaikų maitinimo organizavimą, maisto gaminimą, patalpų ir įrangos priežiūrą, higienos normas, sveikatos bei saugos reikalavimus.</w:t>
      </w:r>
      <w:r>
        <w:rPr>
          <w:szCs w:val="22"/>
        </w:rPr>
        <w:tab/>
      </w:r>
    </w:p>
    <w:p>
      <w:pPr>
        <w:tabs>
          <w:tab w:val="left" w:pos="180"/>
        </w:tabs>
        <w:ind w:firstLine="720"/>
        <w:jc w:val="both"/>
        <w:rPr>
          <w:szCs w:val="22"/>
        </w:rPr>
      </w:pPr>
      <w:r>
        <w:rPr>
          <w:szCs w:val="22"/>
        </w:rPr>
        <w:t>3</w:t>
      </w:r>
      <w:r>
        <w:rPr>
          <w:szCs w:val="22"/>
        </w:rPr>
        <w:t>. Už maitinimo organizavimą yra atsakingi švietimo įstaigos savininko teises ir pareigas įgyvendinanti institucija, maitinimo paslaugos teikėjas ir įstaigos vadovas.</w:t>
      </w:r>
    </w:p>
    <w:p>
      <w:pPr>
        <w:tabs>
          <w:tab w:val="left" w:pos="180"/>
        </w:tabs>
        <w:ind w:firstLine="720"/>
        <w:jc w:val="both"/>
        <w:rPr>
          <w:szCs w:val="22"/>
        </w:rPr>
      </w:pPr>
      <w:r>
        <w:rPr>
          <w:szCs w:val="22"/>
        </w:rPr>
        <w:t>4</w:t>
      </w:r>
      <w:r>
        <w:rPr>
          <w:szCs w:val="22"/>
        </w:rPr>
        <w:t>. Maitinimas organizuojamas valgyklose ir kitose maitinti pritaikytose patalpose ar vietose, laikantis nustatytų maisto saugos ir maisto tvarkymo reikalavimų ir sudarant sąlygas kiekvienam vaikui pavalgyti prie stalo ir gauti šilto maisto.</w:t>
      </w:r>
    </w:p>
    <w:p>
      <w:pPr>
        <w:tabs>
          <w:tab w:val="left" w:pos="180"/>
        </w:tabs>
        <w:ind w:firstLine="720"/>
        <w:jc w:val="both"/>
        <w:rPr>
          <w:szCs w:val="22"/>
        </w:rPr>
      </w:pPr>
      <w:r>
        <w:rPr>
          <w:szCs w:val="22"/>
        </w:rPr>
        <w:t>5</w:t>
      </w:r>
      <w:r>
        <w:rPr>
          <w:szCs w:val="22"/>
        </w:rPr>
        <w:t>. Maitinimas organizuojamas pagal valgiaraščius, kurie parengiami vadovaujantis teisės aktų reikalavimais ne mažiau kaip 15 dienų laikotarpiui ir turi būti derinami su Klaipėdos visuomenės sveikatos centru iki maitinimo paslaugos teikimo pradžios.</w:t>
      </w:r>
    </w:p>
    <w:p>
      <w:pPr>
        <w:tabs>
          <w:tab w:val="left" w:pos="180"/>
        </w:tabs>
        <w:ind w:firstLine="720"/>
        <w:jc w:val="both"/>
        <w:rPr>
          <w:szCs w:val="22"/>
        </w:rPr>
      </w:pPr>
      <w:r>
        <w:rPr>
          <w:szCs w:val="22"/>
        </w:rPr>
        <w:t>6</w:t>
      </w:r>
      <w:r>
        <w:rPr>
          <w:szCs w:val="22"/>
        </w:rPr>
        <w:t>. Pusryčiams vaikai turi gauti 20–25 %, pietums – 30–40 %, pavakariams arba priešpiečiams 10–15%, vakarienei – 20–25 % rekomenduojamo paros maisto raciono kaloringumo pagal amžiaus grupes, jeigu tokie maitinimai numatyti valgiaraščiuose. Bendrabutyje gyvenantiems vaikams ir mokiniams maitinimų skaičių nustato įstaigos vadovas.</w:t>
      </w:r>
    </w:p>
    <w:p>
      <w:pPr>
        <w:tabs>
          <w:tab w:val="left" w:pos="180"/>
        </w:tabs>
        <w:ind w:firstLine="780"/>
        <w:jc w:val="both"/>
        <w:rPr>
          <w:szCs w:val="22"/>
        </w:rPr>
      </w:pPr>
      <w:r>
        <w:rPr>
          <w:szCs w:val="22"/>
        </w:rPr>
        <w:t>7</w:t>
      </w:r>
      <w:r>
        <w:rPr>
          <w:szCs w:val="22"/>
        </w:rPr>
        <w:t>. Maisto produktų pirkimas organizuojamas vadovaujantis Viešųjų pirkimų įstatymo nustatyta tvark</w:t>
      </w:r>
      <w:smartTag w:uri="urn:schemas-microsoft-com:office:smarttags" w:element="PersonName">
        <w:r>
          <w:rPr>
            <w:szCs w:val="22"/>
          </w:rPr>
          <w:t>a.</w:t>
        </w:r>
      </w:smartTag>
      <w:r>
        <w:rPr>
          <w:szCs w:val="22"/>
        </w:rPr>
        <w:t xml:space="preserve"> </w:t>
      </w:r>
    </w:p>
    <w:p>
      <w:pPr>
        <w:tabs>
          <w:tab w:val="left" w:pos="180"/>
        </w:tabs>
        <w:ind w:firstLine="780"/>
        <w:jc w:val="both"/>
        <w:rPr>
          <w:szCs w:val="22"/>
        </w:rPr>
      </w:pPr>
      <w:r>
        <w:rPr>
          <w:szCs w:val="22"/>
        </w:rPr>
        <w:t>8</w:t>
      </w:r>
      <w:r>
        <w:rPr>
          <w:szCs w:val="22"/>
        </w:rPr>
        <w:t xml:space="preserve">. </w:t>
      </w:r>
      <w:r>
        <w:rPr>
          <w:color w:val="000000"/>
          <w:szCs w:val="22"/>
        </w:rPr>
        <w:t>Sutartys su maisto produktų tiekėjais, laimėjusiais viešųjų pirkimų konkursus, sudaromos teisės aktų nustatytais terminais.</w:t>
      </w:r>
    </w:p>
    <w:p>
      <w:pPr>
        <w:tabs>
          <w:tab w:val="left" w:pos="180"/>
          <w:tab w:val="left" w:pos="1620"/>
        </w:tabs>
        <w:ind w:firstLine="780"/>
        <w:jc w:val="both"/>
        <w:rPr>
          <w:szCs w:val="22"/>
        </w:rPr>
      </w:pPr>
      <w:r>
        <w:rPr>
          <w:szCs w:val="22"/>
        </w:rPr>
        <w:t>9</w:t>
      </w:r>
      <w:r>
        <w:rPr>
          <w:szCs w:val="22"/>
        </w:rPr>
        <w:t xml:space="preserve">. Maisto produktų inventorizacija įstaigose turi būti atliekama pagal inventorizacijos taisykles,  patvirtintas Lietuvos Respublikos Vyriausybės nutarimu.</w:t>
      </w:r>
    </w:p>
    <w:p>
      <w:pPr>
        <w:tabs>
          <w:tab w:val="left" w:pos="180"/>
          <w:tab w:val="left" w:pos="1620"/>
        </w:tabs>
        <w:ind w:firstLine="780"/>
        <w:jc w:val="both"/>
        <w:rPr>
          <w:strike/>
          <w:szCs w:val="22"/>
        </w:rPr>
      </w:pPr>
    </w:p>
    <w:p>
      <w:pPr>
        <w:tabs>
          <w:tab w:val="left" w:pos="180"/>
        </w:tabs>
        <w:jc w:val="center"/>
        <w:rPr>
          <w:b/>
          <w:szCs w:val="22"/>
        </w:rPr>
      </w:pPr>
      <w:r>
        <w:rPr>
          <w:b/>
          <w:szCs w:val="22"/>
        </w:rPr>
        <w:t>II</w:t>
      </w:r>
      <w:r>
        <w:rPr>
          <w:b/>
          <w:szCs w:val="22"/>
        </w:rPr>
        <w:t xml:space="preserve">. </w:t>
      </w:r>
      <w:r>
        <w:rPr>
          <w:b/>
          <w:szCs w:val="22"/>
        </w:rPr>
        <w:t>MAITINIMO ORGANIZAVIMAS BENDROJO UGDYMO MOKYKLOJE</w:t>
      </w:r>
    </w:p>
    <w:p>
      <w:pPr>
        <w:tabs>
          <w:tab w:val="left" w:pos="180"/>
        </w:tabs>
        <w:jc w:val="center"/>
        <w:rPr>
          <w:b/>
          <w:szCs w:val="22"/>
        </w:rPr>
      </w:pPr>
    </w:p>
    <w:p>
      <w:pPr>
        <w:tabs>
          <w:tab w:val="left" w:pos="180"/>
        </w:tabs>
        <w:ind w:firstLine="720"/>
        <w:jc w:val="both"/>
        <w:rPr>
          <w:szCs w:val="22"/>
        </w:rPr>
      </w:pPr>
      <w:r>
        <w:rPr>
          <w:szCs w:val="22"/>
        </w:rPr>
        <w:t>10</w:t>
      </w:r>
      <w:r>
        <w:rPr>
          <w:szCs w:val="22"/>
        </w:rPr>
        <w:t>. Mokykloje turi būti sudarytos sąlygos maitinimui organizuoti.</w:t>
      </w:r>
    </w:p>
    <w:p>
      <w:pPr>
        <w:tabs>
          <w:tab w:val="left" w:pos="180"/>
        </w:tabs>
        <w:ind w:left="720"/>
        <w:jc w:val="both"/>
        <w:rPr>
          <w:szCs w:val="22"/>
        </w:rPr>
      </w:pPr>
      <w:r>
        <w:rPr>
          <w:szCs w:val="22"/>
        </w:rPr>
        <w:t>11</w:t>
      </w:r>
      <w:r>
        <w:rPr>
          <w:szCs w:val="22"/>
        </w:rPr>
        <w:t>. Maitinimą mokykloje gali organizuoti:</w:t>
      </w:r>
    </w:p>
    <w:p>
      <w:pPr>
        <w:tabs>
          <w:tab w:val="left" w:pos="180"/>
        </w:tabs>
        <w:ind w:left="720"/>
        <w:jc w:val="both"/>
        <w:rPr>
          <w:szCs w:val="22"/>
        </w:rPr>
      </w:pPr>
      <w:r>
        <w:rPr>
          <w:szCs w:val="22"/>
        </w:rPr>
        <w:t>11.1</w:t>
      </w:r>
      <w:r>
        <w:rPr>
          <w:szCs w:val="22"/>
        </w:rPr>
        <w:t>. mokykla;</w:t>
      </w:r>
    </w:p>
    <w:p>
      <w:pPr>
        <w:tabs>
          <w:tab w:val="left" w:pos="180"/>
        </w:tabs>
        <w:ind w:left="720"/>
        <w:jc w:val="both"/>
        <w:rPr>
          <w:szCs w:val="22"/>
        </w:rPr>
      </w:pPr>
      <w:r>
        <w:rPr>
          <w:szCs w:val="22"/>
        </w:rPr>
        <w:t>11.2</w:t>
      </w:r>
      <w:r>
        <w:rPr>
          <w:szCs w:val="22"/>
        </w:rPr>
        <w:t>. maitinimo organizatorius, parinktas Viešųjų pirkimų įstatymo nustatyta tvark</w:t>
      </w:r>
      <w:smartTag w:uri="urn:schemas-microsoft-com:office:smarttags" w:element="PersonName">
        <w:r>
          <w:rPr>
            <w:szCs w:val="22"/>
          </w:rPr>
          <w:t>a.</w:t>
        </w:r>
      </w:smartTag>
    </w:p>
    <w:p>
      <w:pPr>
        <w:tabs>
          <w:tab w:val="left" w:pos="180"/>
        </w:tabs>
        <w:ind w:firstLine="720"/>
        <w:contextualSpacing/>
        <w:jc w:val="both"/>
      </w:pPr>
      <w:r>
        <w:rPr>
          <w:szCs w:val="22"/>
        </w:rPr>
        <w:t>12</w:t>
      </w:r>
      <w:r>
        <w:rPr>
          <w:szCs w:val="22"/>
        </w:rPr>
        <w:t>. Savivaldybei nuosavybės teise priklausantis turtas, kurį patikėjimo teise valdo savivaldybės švietimo įstaigos, maitinimo organizatoriui maitinimo paslaugos teikimo laikotarpiui išnuomojamas ne konkurso būdu, vadovaujantis savivaldybės tarybos nustatyta tvarka.</w:t>
      </w:r>
    </w:p>
    <w:p>
      <w:pPr>
        <w:pStyle w:val="PlainText"/>
        <w:rPr>
          <w:rFonts w:ascii="Times New Roman" w:eastAsia="MS Mincho" w:hAnsi="Times New Roman"/>
          <w:sz w:val="20"/>
          <w:i/>
          <w:iCs/>
        </w:rPr>
      </w:pPr>
      <w:r>
        <w:rPr>
          <w:rFonts w:ascii="Times New Roman" w:eastAsia="MS Mincho" w:hAnsi="Times New Roman"/>
          <w:sz w:val="20"/>
          <w:i/>
          <w:iCs/>
        </w:rPr>
        <w:t>Papildyta punktu: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09"/>
        <w:contextualSpacing/>
        <w:jc w:val="both"/>
      </w:pPr>
      <w:r>
        <w:rPr>
          <w:szCs w:val="22"/>
        </w:rPr>
        <w:t>13</w:t>
      </w:r>
      <w:r>
        <w:rPr>
          <w:szCs w:val="22"/>
        </w:rPr>
        <w:t>. Maitinimo organizatorius privalo apsirūpinti virtuvės įranga ir inventoriumi technologiniam procesui užtikrinti, stalo įrankiais, indais, bufeto baldais. Maitinimo organizatoriui, pagerinusiam turtą, už pagerinimą neatlyginama. Maitinimo organizatorius privalo užtikrinti, kad maitinimo paslaugoms teikti perduotas turtas, pasibaigus sutarties galiojimo laikotarpiui, bus grąžintas tokios pat būklės, kokios perduotas, atsižvelgiant į normalų nusidėvėjimą.</w:t>
      </w:r>
    </w:p>
    <w:p>
      <w:pPr>
        <w:pStyle w:val="PlainText"/>
        <w:rPr>
          <w:rFonts w:ascii="Times New Roman" w:eastAsia="MS Mincho" w:hAnsi="Times New Roman"/>
          <w:sz w:val="20"/>
          <w:i/>
          <w:iCs/>
        </w:rPr>
      </w:pPr>
      <w:r>
        <w:rPr>
          <w:rFonts w:ascii="Times New Roman" w:eastAsia="MS Mincho" w:hAnsi="Times New Roman"/>
          <w:sz w:val="20"/>
          <w:i/>
          <w:iCs/>
        </w:rPr>
        <w:t>Papildyta punktu: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contextualSpacing/>
        <w:jc w:val="both"/>
      </w:pPr>
      <w:r>
        <w:rPr>
          <w:szCs w:val="22"/>
        </w:rPr>
        <w:t>14</w:t>
      </w:r>
      <w:r>
        <w:rPr>
          <w:szCs w:val="22"/>
        </w:rPr>
        <w:t>. Maitinimo organizatorius užtikrina ir atsako už patalpų higieninę būklę, apsaugą, einamąjį remontą, gaisrinės saugos reikalavimus ir įrenginių, skirtų maisto gamybai, saugų darbą, priežiūrą ir remontą, pasiruošimą naujiems mokslo metams savo lėšomis.</w:t>
      </w:r>
    </w:p>
    <w:p>
      <w:pPr>
        <w:pStyle w:val="PlainText"/>
        <w:rPr>
          <w:rFonts w:ascii="Times New Roman" w:eastAsia="MS Mincho" w:hAnsi="Times New Roman"/>
          <w:sz w:val="20"/>
          <w:i/>
          <w:iCs/>
        </w:rPr>
      </w:pPr>
      <w:r>
        <w:rPr>
          <w:rFonts w:ascii="Times New Roman" w:eastAsia="MS Mincho" w:hAnsi="Times New Roman"/>
          <w:sz w:val="20"/>
          <w:i/>
          <w:iCs/>
        </w:rPr>
        <w:t>Papildyta punktu: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contextualSpacing/>
        <w:jc w:val="both"/>
      </w:pPr>
      <w:r>
        <w:rPr>
          <w:rFonts w:cs="Aharoni"/>
          <w:szCs w:val="22"/>
        </w:rPr>
        <w:t>15</w:t>
      </w:r>
      <w:r>
        <w:rPr>
          <w:rFonts w:cs="Aharoni"/>
          <w:szCs w:val="22"/>
        </w:rPr>
        <w:t>. Maitinimo organizatorius patalpas, taip pat patalpose esančią įrangą, inventorių bei minėtose patalpose esančių vandentiekio, elektros, vėdinimo sistemų gedimus remontuoja savo lėšomis, laikydamasis visų higienos, darbų saugos, gaisrinės saugos ir kitų reikalavimų.</w:t>
      </w:r>
    </w:p>
    <w:p>
      <w:pPr>
        <w:pStyle w:val="PlainText"/>
        <w:rPr>
          <w:rFonts w:ascii="Times New Roman" w:eastAsia="MS Mincho" w:hAnsi="Times New Roman"/>
          <w:sz w:val="20"/>
          <w:i/>
          <w:iCs/>
        </w:rPr>
      </w:pPr>
      <w:r>
        <w:rPr>
          <w:rFonts w:ascii="Times New Roman" w:eastAsia="MS Mincho" w:hAnsi="Times New Roman"/>
          <w:sz w:val="20"/>
          <w:i/>
          <w:iCs/>
        </w:rPr>
        <w:t>Papildyta punktu: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ind w:firstLine="709"/>
        <w:jc w:val="both"/>
        <w:rPr>
          <w:szCs w:val="22"/>
        </w:rPr>
      </w:pPr>
      <w:r>
        <w:rPr>
          <w:szCs w:val="24"/>
          <w:lang w:eastAsia="lt-LT"/>
        </w:rPr>
        <w:t>16</w:t>
      </w:r>
      <w:r>
        <w:rPr>
          <w:szCs w:val="24"/>
          <w:lang w:eastAsia="lt-LT"/>
        </w:rPr>
        <w:t>.</w:t>
      </w:r>
      <w:r>
        <w:rPr>
          <w:rFonts w:cs="Aharoni"/>
          <w:szCs w:val="22"/>
          <w:lang w:eastAsia="lt-LT"/>
        </w:rPr>
        <w:t xml:space="preserve"> Maitinimo organizatorius apmoka maitinimo proceso organizavimo metu susidariusių maisto, buitinių atliekų tvarkymo ir kitas išlaidas. Maitinimo organizatorius valo nuomojamas patalpas.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punktu: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9180a110e6fd11e7acd7ea182930b17f">
        <w:r w:rsidRPr="00532B9F">
          <w:rPr>
            <w:rFonts w:ascii="Times New Roman" w:eastAsia="MS Mincho" w:hAnsi="Times New Roman"/>
            <w:sz w:val="20"/>
            <w:i/>
            <w:iCs/>
            <w:color w:val="0000FF" w:themeColor="hyperlink"/>
            <w:u w:val="single"/>
          </w:rPr>
          <w:t>T2-330</w:t>
        </w:r>
      </w:fldSimple>
      <w:r>
        <w:rPr>
          <w:rFonts w:ascii="Times New Roman" w:eastAsia="MS Mincho" w:hAnsi="Times New Roman"/>
          <w:sz w:val="20"/>
          <w:i/>
          <w:iCs/>
        </w:rPr>
        <w:t>,
2017-12-21,
paskelbta TAR 2017-12-22, i. k. 2017-21004            </w:t>
      </w:r>
    </w:p>
    <w:p/>
    <w:p>
      <w:pPr>
        <w:tabs>
          <w:tab w:val="left" w:pos="180"/>
        </w:tabs>
        <w:ind w:firstLine="720"/>
        <w:jc w:val="both"/>
        <w:rPr>
          <w:szCs w:val="22"/>
        </w:rPr>
      </w:pPr>
      <w:r>
        <w:rPr>
          <w:szCs w:val="22"/>
        </w:rPr>
        <w:t>17</w:t>
      </w:r>
      <w:r>
        <w:rPr>
          <w:szCs w:val="22"/>
        </w:rPr>
        <w:t>. Mokykloje organizuojamas maitinimas pagal patvirtintus ir suderintus valgiaraščius, kuriuose nurodomas patiekalo receptūros numeris, kiekis. Jie sudaromi pagal mokinių amžiaus grupes. Jei organizuojamas mokinių iš mažas pajamas gaunančių šeimų maitinimas, turi būti sudaromas papildomas valgiaraštis.</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18</w:t>
      </w:r>
      <w:r>
        <w:rPr>
          <w:szCs w:val="22"/>
        </w:rPr>
        <w:t>. Mokykloje gali būti numatyta galimybė laisvai pasirinkti užkandžius, kurie turi būti tiekiami pagal mokinių maitinimui rekomenduojamų produktų sąrašą.</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contextualSpacing/>
        <w:jc w:val="both"/>
        <w:rPr>
          <w:szCs w:val="22"/>
        </w:rPr>
      </w:pPr>
      <w:r>
        <w:rPr>
          <w:szCs w:val="22"/>
        </w:rPr>
        <w:t>19</w:t>
      </w:r>
      <w:r>
        <w:rPr>
          <w:szCs w:val="22"/>
        </w:rPr>
        <w:t>. Pietų metu vienas iš karštų patiekalų turi būti tausojantis virškinimo sistemą – pagamintas verdant vandenyje ar garuose, troškinant arba pagamintas konvekcinėje krosnelėje.</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contextualSpacing/>
        <w:jc w:val="both"/>
        <w:rPr>
          <w:szCs w:val="22"/>
        </w:rPr>
      </w:pPr>
      <w:r>
        <w:rPr>
          <w:szCs w:val="22"/>
        </w:rPr>
        <w:t>20</w:t>
      </w:r>
      <w:r>
        <w:rPr>
          <w:szCs w:val="22"/>
        </w:rPr>
        <w:t xml:space="preserve">. </w:t>
      </w:r>
      <w:r>
        <w:rPr>
          <w:caps/>
          <w:color w:val="000000"/>
          <w:szCs w:val="22"/>
        </w:rPr>
        <w:t>M</w:t>
      </w:r>
      <w:r>
        <w:rPr>
          <w:color w:val="000000"/>
          <w:szCs w:val="22"/>
        </w:rPr>
        <w:t>okyklos vadovas, vadovaudamasis teisės aktais bei šiuo tvarkos aprašu, paskiria atsakingus (-ą)</w:t>
      </w:r>
      <w:r>
        <w:rPr>
          <w:b/>
          <w:color w:val="000000"/>
          <w:szCs w:val="22"/>
        </w:rPr>
        <w:t xml:space="preserve"> </w:t>
      </w:r>
      <w:r>
        <w:rPr>
          <w:color w:val="000000"/>
          <w:szCs w:val="22"/>
        </w:rPr>
        <w:t>asmenis (-į) už maitinimo organizavimą. Jei mokykla pati organizuoja maitinimą, mokyklos vadovas paskiria atsakingus (-ą) asmenis (-į) už</w:t>
      </w:r>
      <w:r>
        <w:rPr>
          <w:b/>
          <w:color w:val="000000"/>
          <w:szCs w:val="22"/>
        </w:rPr>
        <w:t xml:space="preserve"> </w:t>
      </w:r>
      <w:r>
        <w:rPr>
          <w:color w:val="000000"/>
          <w:szCs w:val="22"/>
        </w:rPr>
        <w:t>dokumentacijos tvarkymą, kasos operacijų, grynųjų pinigų apskaitą, maisto produktų tiekėjų parinkimą, kontrolės sistemą, maisto saugą ir sprendžia kitus su maitinimo organizavimu susijusius klausimus.</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21</w:t>
      </w:r>
      <w:r>
        <w:rPr>
          <w:szCs w:val="22"/>
        </w:rPr>
        <w:t>. Mokyklų valgyklose pietų pertraukų metu (ilgųjų pertraukų) turi būti budintys asmenys, kurie įstaigos vadovo nurodymu privalo palaikyti tvarką valgykloje.</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22</w:t>
      </w:r>
      <w:r>
        <w:rPr>
          <w:szCs w:val="22"/>
        </w:rPr>
        <w:t>. Mokinių maitinimas organizuojamas, atsiskaitant grynaisiais pinigais ar maitinimo talonais. Grynieji pinigai už suteiktas paslaugas priimami ir apskaitomi Kasos darbo organizavimo ir kasos operacijų atlikimo taisyklių nustatyta tvark</w:t>
      </w:r>
      <w:smartTag w:uri="urn:schemas-microsoft-com:office:smarttags" w:element="PersonName">
        <w:r>
          <w:rPr>
            <w:szCs w:val="22"/>
          </w:rPr>
          <w:t>a.</w:t>
        </w:r>
      </w:smartTag>
      <w:r>
        <w:rPr>
          <w:szCs w:val="22"/>
        </w:rPr>
        <w:t xml:space="preserve">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23</w:t>
      </w:r>
      <w:r>
        <w:rPr>
          <w:szCs w:val="22"/>
        </w:rPr>
        <w:t xml:space="preserve">. Patiekalų gamybos kaštus sudaro išlaidos valgyklos darbuotojų darbo užmokesčiui, socialinio draudimo įmokomos, elektros energijos, šildymo, karšto ir šalto vandens ir nuotekų sąnaudoms.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24</w:t>
      </w:r>
      <w:r>
        <w:rPr>
          <w:szCs w:val="22"/>
        </w:rPr>
        <w:t xml:space="preserve">. Išlaidos gamybos kaštams padengti negali viršyti 60 % patiekalo savikainos (su PVM). Konkretų dydį patiekalų gamybos išlaidoms padengti nustato mokyklos vadovas savo įsakymu arba maitinimo organizatorius.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25</w:t>
      </w:r>
      <w:r>
        <w:rPr>
          <w:szCs w:val="22"/>
        </w:rPr>
        <w:t>. Mokyklos valgyklos gaunamos pajamos apskaitomos kaip įstaigos gaunamos pajamos iš įmokų vadovaujantis teisės aktų nustatyta tvark</w:t>
      </w:r>
      <w:smartTag w:uri="urn:schemas-microsoft-com:office:smarttags" w:element="PersonName">
        <w:r>
          <w:rPr>
            <w:szCs w:val="22"/>
          </w:rPr>
          <w:t>a.</w:t>
        </w:r>
      </w:smartTag>
      <w:r>
        <w:rPr>
          <w:szCs w:val="22"/>
        </w:rPr>
        <w:t xml:space="preserve"> Įstaigos vadovas privalo užtikrinti, kad įstaigos gaunamų pajamų iš įmokų programos sąmatoje būtų numatytos lėšos valgyklos darbuotojų darbo užmokesčiui, socialinio draudimo įmokoms, elektros energijai, šildymui, karšto ir šalto vandens sąnaudoms ir kitoms išlaidoms, tiesiogiai susijusioms su valgyklos veikla (laboratoriniai patiekalų ir vandens kokybės tyrimai, svarstyklių bei termometrų patikra, įrengimų remontas ir kt.), apmokėti.</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26</w:t>
      </w:r>
      <w:r>
        <w:rPr>
          <w:szCs w:val="22"/>
        </w:rPr>
        <w:t>. Įstaigos, kurios turi pakankamai lėšų, gali planuoti išlaidas prekėms, paslaugoms, susijusioms su maitinimo organizavimu, maitinimo bloko remontui ir virtuvių technologinių įrengimų įsigijimui pagal programos sąmatą.</w:t>
      </w:r>
    </w:p>
    <w:p>
      <w:pPr>
        <w:tabs>
          <w:tab w:val="left" w:pos="180"/>
        </w:tabs>
        <w:ind w:firstLine="720"/>
        <w:jc w:val="both"/>
        <w:rPr>
          <w:szCs w:val="22"/>
        </w:rPr>
      </w:pP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jc w:val="center"/>
        <w:rPr>
          <w:b/>
          <w:szCs w:val="22"/>
        </w:rPr>
      </w:pPr>
      <w:r>
        <w:rPr>
          <w:b/>
          <w:szCs w:val="22"/>
        </w:rPr>
        <w:t>III</w:t>
      </w:r>
      <w:r>
        <w:rPr>
          <w:b/>
          <w:szCs w:val="22"/>
        </w:rPr>
        <w:t xml:space="preserve">. </w:t>
      </w:r>
      <w:r>
        <w:rPr>
          <w:b/>
          <w:szCs w:val="22"/>
        </w:rPr>
        <w:t>MAITINIMO ORGANIZAVIMAS IKIMOKYKLINIO UGDYMO ĮSTAIGOSE IR MOKYKLOSE-DARŽELIUOSE</w:t>
      </w:r>
    </w:p>
    <w:p>
      <w:pPr>
        <w:tabs>
          <w:tab w:val="left" w:pos="180"/>
        </w:tabs>
        <w:jc w:val="both"/>
        <w:rPr>
          <w:b/>
          <w:szCs w:val="22"/>
        </w:rPr>
      </w:pPr>
    </w:p>
    <w:p>
      <w:pPr>
        <w:tabs>
          <w:tab w:val="left" w:pos="180"/>
        </w:tabs>
        <w:ind w:firstLine="720"/>
        <w:contextualSpacing/>
        <w:jc w:val="both"/>
        <w:rPr>
          <w:szCs w:val="22"/>
        </w:rPr>
      </w:pPr>
      <w:r>
        <w:rPr>
          <w:szCs w:val="22"/>
        </w:rPr>
        <w:t>27</w:t>
      </w:r>
      <w:r>
        <w:rPr>
          <w:szCs w:val="22"/>
        </w:rPr>
        <w:t>. Ikimokyklinio</w:t>
      </w:r>
      <w:r>
        <w:rPr>
          <w:b/>
          <w:szCs w:val="22"/>
        </w:rPr>
        <w:t xml:space="preserve"> </w:t>
      </w:r>
      <w:r>
        <w:rPr>
          <w:szCs w:val="22"/>
        </w:rPr>
        <w:t>ir priešmokyklinio ugdymo grupėse bei mokyklose-darželiuose vaikai maitinami grupių patalpose arba tam tikslui įrengtose vietose pagal patvirtintus valgiaraščius, kuriuose nurodoma patiekalų kiekis, energetinė ir maistinė vertė pagal vaikų amžiaus grupes bei maitinimų skaičių.</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contextualSpacing/>
        <w:jc w:val="both"/>
        <w:rPr>
          <w:szCs w:val="22"/>
        </w:rPr>
      </w:pPr>
      <w:r>
        <w:rPr>
          <w:szCs w:val="22"/>
        </w:rPr>
        <w:t>28</w:t>
      </w:r>
      <w:r>
        <w:rPr>
          <w:szCs w:val="22"/>
        </w:rPr>
        <w:t>. 1–7 metų amžiaus vaikams maitinimas organizuojamas ne rečiau kaip kas 3,5 valandos pagal valgiaraščius. Atskiri valgiaraščiai sudaromi 1–3 ir 4–7(10) metų amžiaus vaikams. Pagal gydytojo raštiškus nurodymus turi būti organizuojamas pritaikytas maitinimas.</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29</w:t>
      </w:r>
      <w:r>
        <w:rPr>
          <w:szCs w:val="22"/>
        </w:rPr>
        <w:t>. Įstaigų darbuotojai, sumokėję nustatyto dydžio mokestį, turi teisę pasirinkti maitinimų skaičių.</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pStyle w:val="PlainText"/>
        <w:ind w:firstLine="567"/>
        <w:jc w:val="both"/>
        <w:rPr>
          <w:rFonts w:ascii="Times New Roman" w:hAnsi="Times New Roman"/>
          <w:b/>
          <w:bCs/>
          <w:sz w:val="22"/>
        </w:rPr>
      </w:pPr>
      <w:r>
        <w:rPr>
          <w:rFonts w:ascii="Times New Roman" w:hAnsi="Times New Roman"/>
          <w:sz w:val="22"/>
        </w:rPr>
        <w:t>25</w:t>
      </w:r>
      <w:r>
        <w:rPr>
          <w:rFonts w:ascii="Times New Roman" w:hAnsi="Times New Roman"/>
          <w:sz w:val="22"/>
        </w:rPr>
        <w:t>.</w:t>
      </w:r>
      <w:r>
        <w:rPr>
          <w:rFonts w:ascii="Times New Roman" w:eastAsia="MS Mincho" w:hAnsi="Times New Roman"/>
          <w:sz w:val="20"/>
          <w:i/>
          <w:iCs/>
        </w:rPr>
        <w:t xml:space="preserve"> Neteko galios nuo 2015-08-05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pStyle w:val="PlainText"/>
        <w:ind w:firstLine="567"/>
        <w:jc w:val="both"/>
        <w:rPr>
          <w:rFonts w:ascii="Times New Roman" w:hAnsi="Times New Roman"/>
          <w:b/>
          <w:bCs/>
          <w:sz w:val="22"/>
        </w:rPr>
      </w:pPr>
      <w:r>
        <w:rPr>
          <w:rFonts w:ascii="Times New Roman" w:hAnsi="Times New Roman"/>
          <w:sz w:val="22"/>
        </w:rPr>
        <w:t>26</w:t>
      </w:r>
      <w:r>
        <w:rPr>
          <w:rFonts w:ascii="Times New Roman" w:hAnsi="Times New Roman"/>
          <w:sz w:val="22"/>
        </w:rPr>
        <w:t>.</w:t>
      </w:r>
      <w:r>
        <w:rPr>
          <w:rFonts w:ascii="Times New Roman" w:eastAsia="MS Mincho" w:hAnsi="Times New Roman"/>
          <w:sz w:val="20"/>
          <w:i/>
          <w:iCs/>
        </w:rPr>
        <w:t xml:space="preserve"> Neteko galios nuo 2015-08-05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pStyle w:val="PlainText"/>
        <w:ind w:firstLine="567"/>
        <w:jc w:val="both"/>
        <w:rPr>
          <w:rFonts w:ascii="Times New Roman" w:hAnsi="Times New Roman"/>
          <w:b/>
          <w:bCs/>
          <w:sz w:val="22"/>
        </w:rPr>
      </w:pPr>
      <w:r>
        <w:rPr>
          <w:rFonts w:ascii="Times New Roman" w:hAnsi="Times New Roman"/>
          <w:sz w:val="22"/>
        </w:rPr>
        <w:t>27</w:t>
      </w:r>
      <w:r>
        <w:rPr>
          <w:rFonts w:ascii="Times New Roman" w:hAnsi="Times New Roman"/>
          <w:sz w:val="22"/>
        </w:rPr>
        <w:t>.</w:t>
      </w:r>
      <w:r>
        <w:rPr>
          <w:rFonts w:ascii="Times New Roman" w:eastAsia="MS Mincho" w:hAnsi="Times New Roman"/>
          <w:sz w:val="20"/>
          <w:i/>
          <w:iCs/>
        </w:rPr>
        <w:t xml:space="preserve"> Neteko galios nuo 2015-08-05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jc w:val="center"/>
        <w:rPr>
          <w:b/>
        </w:rPr>
      </w:pPr>
      <w:r>
        <w:rPr>
          <w:b/>
        </w:rPr>
        <w:t>IV</w:t>
      </w:r>
      <w:r>
        <w:rPr>
          <w:b/>
        </w:rPr>
        <w:t xml:space="preserve">. </w:t>
      </w:r>
      <w:r>
        <w:rPr>
          <w:b/>
        </w:rPr>
        <w:t>MAISTO BLOKO PATALPŲ IR ĮRANGOS PRIEŽIŪRA</w:t>
      </w:r>
    </w:p>
    <w:p>
      <w:pPr>
        <w:tabs>
          <w:tab w:val="left" w:pos="180"/>
        </w:tabs>
        <w:ind w:left="-180"/>
        <w:jc w:val="center"/>
        <w:rPr>
          <w:b/>
        </w:rPr>
      </w:pPr>
    </w:p>
    <w:p>
      <w:pPr>
        <w:tabs>
          <w:tab w:val="left" w:pos="180"/>
        </w:tabs>
        <w:ind w:firstLine="720"/>
        <w:jc w:val="both"/>
        <w:rPr>
          <w:szCs w:val="22"/>
        </w:rPr>
      </w:pPr>
      <w:r>
        <w:rPr>
          <w:szCs w:val="22"/>
        </w:rPr>
        <w:t>30</w:t>
      </w:r>
      <w:r>
        <w:rPr>
          <w:szCs w:val="22"/>
        </w:rPr>
        <w:t>. Maisto produktų tiekimas, maisto tvarkymo vietos įrengimas ir maisto tvarkymas turi atitikti teisės aktų reikalavimus.</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31</w:t>
      </w:r>
      <w:r>
        <w:rPr>
          <w:szCs w:val="22"/>
        </w:rPr>
        <w:t>. Maisto bloko patalpų valymas atliekamas teisės aktų nustatyta tvark</w:t>
      </w:r>
      <w:smartTag w:uri="urn:schemas-microsoft-com:office:smarttags" w:element="PersonName">
        <w:r>
          <w:rPr>
            <w:szCs w:val="22"/>
          </w:rPr>
          <w:t>a.</w:t>
        </w:r>
      </w:smartTag>
      <w:r>
        <w:rPr>
          <w:szCs w:val="22"/>
        </w:rPr>
        <w:t xml:space="preserve">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32</w:t>
      </w:r>
      <w:r>
        <w:rPr>
          <w:szCs w:val="22"/>
        </w:rPr>
        <w:t>. Įrenginiams, patalpoms valyti, indams ir įrankiams plauti bei asmens higienos priežiūrai gali būti naudojami tik autorizacijos ir registracijos pažymėjimą turintys biocidai.</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33</w:t>
      </w:r>
      <w:r>
        <w:rPr>
          <w:szCs w:val="22"/>
        </w:rPr>
        <w:t>. Maisto bloko darbuotojams turi būti įrengta atskira drabužinė, kurioje turi būti atskirti darbo ir asmeniniai drabužiai, sudaryta galimybė nusimaudyti.</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34</w:t>
      </w:r>
      <w:r>
        <w:rPr>
          <w:szCs w:val="22"/>
        </w:rPr>
        <w:t>. Kenkėjų kontrolė ir naikinimas atliekamas teisės aktų nustatyta tvark</w:t>
      </w:r>
      <w:smartTag w:uri="urn:schemas-microsoft-com:office:smarttags" w:element="PersonName">
        <w:r>
          <w:rPr>
            <w:szCs w:val="22"/>
          </w:rPr>
          <w:t>a.</w:t>
        </w:r>
      </w:smartTag>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35</w:t>
      </w:r>
      <w:r>
        <w:rPr>
          <w:szCs w:val="22"/>
        </w:rPr>
        <w:t>. Kontrolės, matavimo prietaisai ir įrenginiai naudojami, prižiūrimi ir metrologiškai tikrinami vadovaujantis teisės aktų nustatytais reikalavimais.</w:t>
      </w:r>
    </w:p>
    <w:p>
      <w:pPr>
        <w:tabs>
          <w:tab w:val="left" w:pos="180"/>
        </w:tabs>
        <w:ind w:firstLine="720"/>
        <w:jc w:val="both"/>
        <w:rPr>
          <w:szCs w:val="22"/>
        </w:rPr>
      </w:pP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jc w:val="center"/>
        <w:rPr>
          <w:b/>
        </w:rPr>
      </w:pPr>
      <w:r>
        <w:rPr>
          <w:b/>
        </w:rPr>
        <w:t>V</w:t>
      </w:r>
      <w:r>
        <w:rPr>
          <w:b/>
        </w:rPr>
        <w:t xml:space="preserve">. </w:t>
      </w:r>
      <w:r>
        <w:rPr>
          <w:b/>
        </w:rPr>
        <w:t>KONTROLĖS ORGANIZAVIMAS</w:t>
      </w:r>
    </w:p>
    <w:p>
      <w:pPr>
        <w:tabs>
          <w:tab w:val="left" w:pos="180"/>
        </w:tabs>
        <w:ind w:left="-180"/>
        <w:jc w:val="center"/>
        <w:rPr>
          <w:b/>
        </w:rPr>
      </w:pPr>
    </w:p>
    <w:p>
      <w:pPr>
        <w:tabs>
          <w:tab w:val="left" w:pos="180"/>
        </w:tabs>
        <w:ind w:firstLine="720"/>
        <w:jc w:val="both"/>
        <w:rPr>
          <w:szCs w:val="22"/>
        </w:rPr>
      </w:pPr>
      <w:r>
        <w:rPr>
          <w:szCs w:val="22"/>
        </w:rPr>
        <w:t>36</w:t>
      </w:r>
      <w:r>
        <w:rPr>
          <w:szCs w:val="22"/>
        </w:rPr>
        <w:t>. Švietimo įstaigose maitinimas organizuojamas pagal Lietuvos Respublikos sveikatos apsaugos ministro ir Valstybinės maisto ir veterinarijos tarnybos direktoriaus patvirtintas Geros higienos praktikos taisykles. Kiekvienoje įstaigoje už šią savikontrolės sistemą atsakingą asmenį paskiria įstaigos vadovas savo įsakymu.</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37</w:t>
      </w:r>
      <w:r>
        <w:rPr>
          <w:szCs w:val="22"/>
        </w:rPr>
        <w:t>. Švietimo įstaigų maitinimo paslaugų ir organizavimo kontrolę pagal veiklos planą arba esant būtinumui vykdo Klaipėdos miesto savivaldybės administracij</w:t>
      </w:r>
      <w:smartTag w:uri="urn:schemas-microsoft-com:office:smarttags" w:element="PersonName">
        <w:r>
          <w:rPr>
            <w:szCs w:val="22"/>
          </w:rPr>
          <w:t>a.</w:t>
        </w:r>
      </w:smartTag>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38</w:t>
      </w:r>
      <w:r>
        <w:rPr>
          <w:szCs w:val="22"/>
        </w:rPr>
        <w:t xml:space="preserve">. Įstaigų vadovai ar jų įgalioti asmenys kontroliuoja, ar sutartyse numatytos maisto produktų kainos atitinka nurodytas mokėjimo dokumentuose.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39</w:t>
      </w:r>
      <w:r>
        <w:rPr>
          <w:szCs w:val="22"/>
        </w:rPr>
        <w:t xml:space="preserve">. Už maitinimo organizavimo Klaipėdos miesto savivaldybės bendrojo ugdymo mokyklose ir ikimokyklinio ugdymo įstaigose tvarkos aprašo įgyvendinimą ir kontrolę atsakinga Klaipėdos miesto savivaldybės administracija. </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tabs>
          <w:tab w:val="left" w:pos="180"/>
        </w:tabs>
        <w:ind w:firstLine="720"/>
        <w:jc w:val="both"/>
        <w:rPr>
          <w:szCs w:val="22"/>
        </w:rPr>
      </w:pPr>
      <w:r>
        <w:rPr>
          <w:szCs w:val="22"/>
        </w:rPr>
        <w:t>40</w:t>
      </w:r>
      <w:r>
        <w:rPr>
          <w:szCs w:val="22"/>
        </w:rPr>
        <w:t>. Įstaigos visuomenės sveikatos priežiūros specialistas (jo nesant – kitas vadovo įgaliotas asmuo) pagal kompetenciją prižiūri, kad vaikų maitinimas būtų organizuojamas pagal teisės aktus, reglamentuojančius vaikų maitinimą.</w:t>
      </w:r>
    </w:p>
    <w:p>
      <w:pPr>
        <w:pStyle w:val="PlainText"/>
        <w:rPr>
          <w:rFonts w:ascii="Times New Roman" w:eastAsia="MS Mincho" w:hAnsi="Times New Roman"/>
          <w:sz w:val="20"/>
          <w:i/>
          <w:iCs/>
        </w:rPr>
      </w:pPr>
      <w:r>
        <w:rPr>
          <w:rFonts w:ascii="Times New Roman" w:eastAsia="MS Mincho" w:hAnsi="Times New Roman"/>
          <w:sz w:val="20"/>
          <w:i/>
          <w:iCs/>
        </w:rPr>
        <w:t>Punkto numeracijos pakeitimas: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0d0b0af03a8f11e5aee6f3ae4a9cfa2d">
        <w:r w:rsidRPr="00532B9F">
          <w:rPr>
            <w:rFonts w:ascii="Times New Roman" w:eastAsia="MS Mincho" w:hAnsi="Times New Roman"/>
            <w:sz w:val="20"/>
            <w:i/>
            <w:iCs/>
            <w:color w:val="0000FF" w:themeColor="hyperlink"/>
            <w:u w:val="single"/>
          </w:rPr>
          <w:t>T2-183</w:t>
        </w:r>
      </w:fldSimple>
      <w:r>
        <w:rPr>
          <w:rFonts w:ascii="Times New Roman" w:eastAsia="MS Mincho" w:hAnsi="Times New Roman"/>
          <w:sz w:val="20"/>
          <w:i/>
          <w:iCs/>
        </w:rPr>
        <w:t>,
2015-07-30,
paskelbta TAR 2015-08-04, i. k. 2015-11985        </w:t>
      </w:r>
    </w:p>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Klaipėdos miesto savivaldybės taryba, Sprendimas
                </w:t>
      </w:r>
    </w:p>
    <w:p>
      <w:pPr>
        <w:jc w:val="both"/>
        <w:rPr>
          <w:rFonts w:ascii="Times New Roman" w:hAnsi="Times New Roman"/>
        </w:rPr>
      </w:pPr>
      <w:r>
        <w:rPr>
          <w:rFonts w:ascii="Times New Roman" w:hAnsi="Times New Roman"/>
          <w:sz w:val="20"/>
        </w:rPr>
        <w:t xml:space="preserve">Nr. </w:t>
      </w:r>
      <w:fldSimple w:instr="HYPERLINK https://www.e-tar.lt/portal/legalAct.html?documentId=0d0b0af03a8f11e5aee6f3ae4a9cfa2d">
        <w:r w:rsidRPr="00532B9F">
          <w:rPr>
            <w:rFonts w:ascii="Times New Roman" w:eastAsia="MS Mincho" w:hAnsi="Times New Roman"/>
            <w:sz w:val="20"/>
            <w:iCs/>
            <w:color w:val="0000FF" w:themeColor="hyperlink"/>
            <w:u w:val="single"/>
          </w:rPr>
          <w:t>T2-183</w:t>
        </w:r>
      </w:fldSimple>
      <w:r>
        <w:rPr>
          <w:rFonts w:ascii="Times New Roman" w:eastAsia="MS Mincho" w:hAnsi="Times New Roman"/>
          <w:sz w:val="20"/>
          <w:iCs/>
        </w:rPr>
        <w:t>,
2015-07-30,
paskelbta TAR 2015-08-04, i. k. 2015-11985                </w:t>
      </w:r>
    </w:p>
    <w:p>
      <w:pPr>
        <w:jc w:val="both"/>
        <w:rPr>
          <w:rFonts w:ascii="Times New Roman" w:hAnsi="Times New Roman"/>
        </w:rPr>
      </w:pPr>
      <w:r>
        <w:rPr>
          <w:rFonts w:ascii="Times New Roman" w:hAnsi="Times New Roman"/>
          <w:sz w:val="20"/>
        </w:rPr>
        <w:t>Dėl Klaipėdos miesto savivaldybės tarybos 2012 m. lapkričio 29 d. sprendimo Nr. T2-281 „Dėl Maitinimo organizavimo Klaipėdos miesto savivaldybės bendrojo ugdymo mokyklose ir ikimokyklinio ugdymo įstaigose tvarkos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Klaipėdos miesto savivaldybės taryba, Sprendimas
                </w:t>
      </w:r>
    </w:p>
    <w:p>
      <w:pPr>
        <w:jc w:val="both"/>
        <w:rPr>
          <w:rFonts w:ascii="Times New Roman" w:hAnsi="Times New Roman"/>
        </w:rPr>
      </w:pPr>
      <w:r>
        <w:rPr>
          <w:rFonts w:ascii="Times New Roman" w:hAnsi="Times New Roman"/>
          <w:sz w:val="20"/>
        </w:rPr>
        <w:t xml:space="preserve">Nr. </w:t>
      </w:r>
      <w:fldSimple w:instr="HYPERLINK https://www.e-tar.lt/portal/legalAct.html?documentId=9180a110e6fd11e7acd7ea182930b17f">
        <w:r w:rsidRPr="00532B9F">
          <w:rPr>
            <w:rFonts w:ascii="Times New Roman" w:eastAsia="MS Mincho" w:hAnsi="Times New Roman"/>
            <w:sz w:val="20"/>
            <w:iCs/>
            <w:color w:val="0000FF" w:themeColor="hyperlink"/>
            <w:u w:val="single"/>
          </w:rPr>
          <w:t>T2-330</w:t>
        </w:r>
      </w:fldSimple>
      <w:r>
        <w:rPr>
          <w:rFonts w:ascii="Times New Roman" w:eastAsia="MS Mincho" w:hAnsi="Times New Roman"/>
          <w:sz w:val="20"/>
          <w:iCs/>
        </w:rPr>
        <w:t>,
2017-12-21,
paskelbta TAR 2017-12-22, i. k. 2017-21004                </w:t>
      </w:r>
    </w:p>
    <w:p>
      <w:pPr>
        <w:jc w:val="both"/>
        <w:rPr>
          <w:rFonts w:ascii="Times New Roman" w:hAnsi="Times New Roman"/>
        </w:rPr>
      </w:pPr>
      <w:r>
        <w:rPr>
          <w:rFonts w:ascii="Times New Roman" w:hAnsi="Times New Roman"/>
          <w:sz w:val="20"/>
        </w:rPr>
        <w:t>Dėl Klaipėdos miesto savivaldybės tarybos 2012 m. lapkričio 29 d. sprendimo Nr. T2-281 „Dėl Maitinimo organizavimo Klaipėdos miesto savivaldybės bendrojo ugdymo mokyklose ir ikimokyklinio ugdymo įstaigose tvarkos aprašo patvirtinimo“ pakeitimo</w:t>
      </w:r>
    </w:p>
    <w:p>
      <w:pPr>
        <w:jc w:val="both"/>
        <w:rPr>
          <w:rFonts w:ascii="Times New Roman" w:hAnsi="Times New Roman"/>
          <w:sz w:val="20"/>
        </w:rPr>
      </w:pPr>
    </w:p>
    <w:p>
      <w:pPr>
        <w:widowControl w:val="0"/>
        <w:rPr>
          <w:rFonts w:ascii="Times New Roman" w:hAnsi="Times New Roman"/>
          <w:snapToGrid w:val="0"/>
        </w:rPr>
      </w:pPr>
    </w:p>
    <w:sectPr>
      <w:pgSz w:w="11906" w:h="16838" w:code="9"/>
      <w:pgMar w:top="1134" w:right="567" w:bottom="1134" w:left="1701" w:header="567" w:footer="567" w:gutter="0"/>
      <w:cols w:space="1296"/>
      <w:docGrid w:linePitch="360"/>
    </w:sectPr>
  </w:body>
</w:document>
</file>

<file path=word/fontTable.xml><?xml version="1.0" encoding="utf-8"?>
<w:font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zoom w:val="bestFit" w:percent="94"/>
  <w:defaultTabStop w:val="720"/>
  <w:hyphenationZone w:val="396"/>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5F62F956"/>
</w:settings>
</file>

<file path=word/styles.xml><?xml version="1.0" encoding="utf-8"?>
<w:style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Sraopastraipa">
    <w:name w:val="List Paragraph"/>
    <w:basedOn w:val="prastasis"/>
    <w:pPr>
      <w:ind w:left="720"/>
      <w:contextualSpacing/>
    </w:pPr>
  </w:style>
</w:styles>
</file>

<file path=word/stylesWithEffects.xml><?xml version="1.0" encoding="utf-8"?>
<w:style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Sraopastraipa">
    <w:name w:val="List Paragraph"/>
    <w:basedOn w:val="prastasis"/>
    <w:pPr>
      <w:ind w:left="720"/>
      <w:contextualSpacing/>
    </w:pPr>
  </w:style>
</w:styles>
</file>

<file path=word/webSettings.xml><?xml version="1.0" encoding="utf-8"?>
<w:webSetting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optimizeForBrowser/>
</w:webSettings>
</file>

<file path=word/_rels/document.xml.rels><?xml version="1.0" encoding="UTF-8"?>

<Relationships xmlns="http://schemas.openxmlformats.org/package/2006/relationships">
  <Relationship Id="rId1" Type="http://schemas.openxmlformats.org/officeDocument/2006/relationships/fontTable" Target="fontTable.xml"/>
  <Relationship Id="rId10" Type="http://schemas.openxmlformats.org/officeDocument/2006/relationships/hyperlink" TargetMode="External" Target="https://www.e-tar.lt/portal/lt/legalAct/TAR.E2EBE95E7723"/>
  <Relationship Id="rId2" Type="http://schemas.openxmlformats.org/officeDocument/2006/relationships/settings" Target="settings.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theme" Target="theme/theme1.xml"/>
  <Relationship Id="rId6" Type="http://schemas.openxmlformats.org/officeDocument/2006/relationships/webSettings" Target="webSettings.xml"/>
  <Relationship Id="rId7" Type="http://schemas.openxmlformats.org/officeDocument/2006/relationships/image" Target="media/image2.jpeg"/>
  <Relationship Id="rId8" Type="http://schemas.openxmlformats.org/officeDocument/2006/relationships/hyperlink" TargetMode="External" Target="https://www.e-tar.lt/portal/lt/legalAct/TAR.D0CD0966D67F"/>
  <Relationship Id="rId9" Type="http://schemas.openxmlformats.org/officeDocument/2006/relationships/hyperlink" TargetMode="External" Target="https://www.e-tar.lt/portal/lt/legalAct/TAR.E36F769AFF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Template>Normal.dotm</Template>
  <TotalTime>7</TotalTime>
  <Pages>4</Pages>
  <Words>7212</Words>
  <Characters>4111</Characters>
  <Application>Microsoft Office Word</Application>
  <DocSecurity>0</DocSecurity>
  <Lines>34</Lines>
  <Paragraphs>22</Paragraphs>
  <ScaleCrop>false</ScaleCrop>
  <Company/>
  <LinksUpToDate>false</LinksUpToDate>
  <CharactersWithSpaces>11301</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2016-03-30T05:18:00Z</dcterms:created>
  <dc:creator>Egle</dc:creator>
  <lastModifiedBy>JUOSPONIENĖ Karolina</lastModifiedBy>
  <dcterms:modified xsi:type="dcterms:W3CDTF">2018-01-16T14:04:00Z</dcterms:modified>
  <revision>8</revision>
</coreProperties>
</file>